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6th</w:t>
      </w:r>
      <w:r>
        <w:rPr>
          <w:sz w:val="28"/>
          <w:szCs w:val="28"/>
          <w:rtl w:val="0"/>
          <w:lang w:val="en-US"/>
        </w:rPr>
        <w:t xml:space="preserve"> Meeting</w:t>
      </w:r>
    </w:p>
    <w:p>
      <w:pPr>
        <w:pStyle w:val="Body A"/>
        <w:jc w:val="center"/>
        <w:rPr>
          <w:sz w:val="28"/>
          <w:szCs w:val="28"/>
        </w:rPr>
      </w:pPr>
      <w:r>
        <w:rPr>
          <w:sz w:val="28"/>
          <w:szCs w:val="28"/>
          <w:rtl w:val="0"/>
          <w:lang w:val="en-US"/>
        </w:rPr>
        <w:t>12</w:t>
      </w:r>
      <w:r>
        <w:rPr>
          <w:sz w:val="28"/>
          <w:szCs w:val="28"/>
          <w:rtl w:val="0"/>
          <w:lang w:val="en-US"/>
        </w:rPr>
        <w:t xml:space="preserve">th </w:t>
      </w:r>
      <w:r>
        <w:rPr>
          <w:sz w:val="28"/>
          <w:szCs w:val="28"/>
          <w:rtl w:val="0"/>
          <w:lang w:val="en-US"/>
        </w:rPr>
        <w:t>September</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w:t>
      </w:r>
      <w:r>
        <w:rPr>
          <w:rtl w:val="0"/>
          <w:lang w:val="en-US"/>
        </w:rPr>
        <w:t xml:space="preserve"> Mike Puleston (co-Chair),</w:t>
      </w:r>
      <w:r>
        <w:rPr>
          <w:rtl w:val="0"/>
          <w:lang w:val="en-US"/>
        </w:rPr>
        <w:t xml:space="preserve"> Anne Gwynn</w:t>
      </w:r>
      <w:r>
        <w:rPr>
          <w:rtl w:val="0"/>
          <w:lang w:val="en-US"/>
        </w:rPr>
        <w:t xml:space="preserve">, </w:t>
      </w:r>
      <w:r>
        <w:rPr>
          <w:rtl w:val="0"/>
          <w:lang w:val="en-US"/>
        </w:rPr>
        <w:t>Pete Jonas</w:t>
      </w:r>
      <w:r>
        <w:rPr>
          <w:rtl w:val="0"/>
          <w:lang w:val="en-US"/>
        </w:rPr>
        <w:t>, Rob Morgan (Treasurer), Belle Heaton</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Sue Watson-Bate</w:t>
      </w:r>
      <w:r>
        <w:rPr>
          <w:rtl w:val="0"/>
          <w:lang w:val="en-US"/>
        </w:rPr>
        <w:t>; her husband is ill in hospital and the Steering Group wish him all the best for a speedy and full recovery.</w:t>
      </w:r>
      <w:r>
        <w:br w:type="textWrapping"/>
      </w:r>
    </w:p>
    <w:p>
      <w:pPr>
        <w:pStyle w:val="Body A"/>
        <w:numPr>
          <w:ilvl w:val="0"/>
          <w:numId w:val="2"/>
        </w:numPr>
        <w:bidi w:val="0"/>
        <w:ind w:right="0"/>
        <w:jc w:val="left"/>
        <w:rPr>
          <w:rtl w:val="0"/>
          <w:lang w:val="en-US"/>
        </w:rPr>
      </w:pPr>
      <w:r>
        <w:rPr>
          <w:rtl w:val="0"/>
          <w:lang w:val="en-US"/>
        </w:rPr>
        <w:t>Welcome</w:t>
      </w:r>
      <w:r>
        <w:br w:type="textWrapping"/>
      </w:r>
      <w:r>
        <w:rPr>
          <w:b w:val="1"/>
          <w:bCs w:val="1"/>
          <w:rtl w:val="0"/>
          <w:lang w:val="en-US"/>
        </w:rPr>
        <w:t>TS</w:t>
      </w:r>
      <w:r>
        <w:rPr>
          <w:rtl w:val="0"/>
          <w:lang w:val="en-US"/>
        </w:rPr>
        <w:t xml:space="preserve"> welcomed </w:t>
      </w:r>
      <w:r>
        <w:rPr>
          <w:b w:val="1"/>
          <w:bCs w:val="1"/>
          <w:rtl w:val="0"/>
          <w:lang w:val="en-US"/>
        </w:rPr>
        <w:t>PJ</w:t>
      </w:r>
      <w:r>
        <w:rPr>
          <w:rtl w:val="0"/>
          <w:lang w:val="en-US"/>
        </w:rPr>
        <w:t xml:space="preserve"> who is now recovering from a successful operation.</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The minutes were accepted</w:t>
      </w:r>
      <w:r>
        <w:rPr>
          <w:rtl w:val="0"/>
          <w:lang w:val="en-US"/>
        </w:rPr>
        <w:t xml:space="preserve"> with a couple of changes, in particular that </w:t>
      </w:r>
      <w:r>
        <w:rPr>
          <w:b w:val="1"/>
          <w:bCs w:val="1"/>
          <w:rtl w:val="0"/>
          <w:lang w:val="en-US"/>
        </w:rPr>
        <w:t>PJ</w:t>
      </w:r>
      <w:r>
        <w:rPr>
          <w:rtl w:val="0"/>
          <w:lang w:val="en-US"/>
        </w:rPr>
        <w:t>s contribution to the Turn the Tide stand had not been acknowledged.  This has been corrected.</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rPr>
          <w:outline w:val="0"/>
          <w:color w:val="ff644e"/>
          <w14:textFill>
            <w14:solidFill>
              <w14:srgbClr w14:val="FF644E"/>
            </w14:solidFill>
          </w14:textFill>
        </w:rPr>
        <w:br w:type="textWrapping"/>
      </w:r>
      <w:r>
        <w:rPr>
          <w:rtl w:val="0"/>
          <w:lang w:val="en-US"/>
        </w:rPr>
        <w:t xml:space="preserve">At close of business on 11 September 2023, the balance of the bank account stood at </w:t>
      </w:r>
      <w:r>
        <w:rPr>
          <w:rtl w:val="0"/>
          <w:lang w:val="en-US"/>
        </w:rPr>
        <w:t>£</w:t>
      </w:r>
      <w:r>
        <w:rPr>
          <w:rtl w:val="0"/>
          <w:lang w:val="en-US"/>
        </w:rPr>
        <w:t xml:space="preserve">463.17. The cash holding was </w:t>
      </w:r>
      <w:r>
        <w:rPr>
          <w:rtl w:val="0"/>
          <w:lang w:val="en-US"/>
        </w:rPr>
        <w:t>£</w:t>
      </w:r>
      <w:r>
        <w:rPr>
          <w:rtl w:val="0"/>
          <w:lang w:val="en-US"/>
        </w:rPr>
        <w:t xml:space="preserve">101.65, making our total holding </w:t>
      </w:r>
      <w:r>
        <w:rPr>
          <w:rFonts w:ascii="Calibri" w:hAnsi="Calibri" w:hint="default"/>
          <w:b w:val="1"/>
          <w:bCs w:val="1"/>
          <w:rtl w:val="0"/>
          <w:lang w:val="en-US"/>
        </w:rPr>
        <w:t>£</w:t>
      </w:r>
      <w:r>
        <w:rPr>
          <w:rFonts w:ascii="Calibri" w:hAnsi="Calibri"/>
          <w:b w:val="1"/>
          <w:bCs w:val="1"/>
          <w:rtl w:val="0"/>
          <w:lang w:val="en-US"/>
        </w:rPr>
        <w:t>564.82</w:t>
      </w:r>
      <w:r>
        <w:rPr>
          <w:rtl w:val="0"/>
          <w:lang w:val="en-US"/>
        </w:rPr>
        <w:t xml:space="preserve">. The only transaction since the last report was a payment into the account of </w:t>
      </w:r>
      <w:r>
        <w:rPr>
          <w:rtl w:val="0"/>
          <w:lang w:val="en-US"/>
        </w:rPr>
        <w:t>£</w:t>
      </w:r>
      <w:r>
        <w:rPr>
          <w:rtl w:val="0"/>
          <w:lang w:val="en-US"/>
        </w:rPr>
        <w:t>6 from Toby Sherwin</w:t>
      </w:r>
      <w:r>
        <w:rPr>
          <w:rtl w:val="0"/>
          <w:lang w:val="en-US"/>
        </w:rPr>
        <w:t xml:space="preserve"> for donations by two visitors to the Hollicombe rocks Shoresearch.  There has still been no contribution from Plymouth Marine Laboratory for the time when </w:t>
      </w:r>
      <w:r>
        <w:rPr>
          <w:b w:val="1"/>
          <w:bCs w:val="1"/>
          <w:rtl w:val="0"/>
          <w:lang w:val="en-US"/>
        </w:rPr>
        <w:t>MP</w:t>
      </w:r>
      <w:r>
        <w:rPr>
          <w:rtl w:val="0"/>
          <w:lang w:val="en-US"/>
        </w:rPr>
        <w:t xml:space="preserve"> lead them onto the rocks at Plymouth.  It was agreed that in future if an organisation requests someone lead them on the rocks they must pay first.</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The Instagram account, run by </w:t>
      </w:r>
      <w:r>
        <w:rPr>
          <w:b w:val="1"/>
          <w:bCs w:val="1"/>
          <w:rtl w:val="0"/>
          <w:lang w:val="en-US"/>
        </w:rPr>
        <w:t>SW-B</w:t>
      </w:r>
      <w:r>
        <w:rPr>
          <w:rtl w:val="0"/>
          <w:lang w:val="en-US"/>
        </w:rPr>
        <w:t>, now</w:t>
      </w:r>
      <w:r>
        <w:rPr>
          <w:rtl w:val="0"/>
          <w:lang w:val="en-US"/>
        </w:rPr>
        <w:t xml:space="preserve"> has 268 followers. </w:t>
      </w:r>
      <w:r>
        <w:rPr>
          <w:rtl w:val="0"/>
          <w:lang w:val="en-US"/>
        </w:rPr>
        <w:t>MP stated that the</w:t>
      </w:r>
      <w:r>
        <w:rPr>
          <w:rtl w:val="0"/>
          <w:lang w:val="en-US"/>
        </w:rPr>
        <w:t xml:space="preserve"> Facebook site, which continues to be regularly populated gets scam posts which are rejected</w:t>
      </w:r>
      <w:r>
        <w:rPr>
          <w:rtl w:val="0"/>
          <w:lang w:val="en-US"/>
        </w:rPr>
        <w:t>.</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Past talks</w:t>
      </w:r>
      <w:r>
        <w:rPr>
          <w:i w:val="1"/>
          <w:iCs w:val="1"/>
          <w:outline w:val="0"/>
          <w:color w:val="000000"/>
          <w14:textFill>
            <w14:solidFill>
              <w14:srgbClr w14:val="000000"/>
            </w14:solidFill>
          </w14:textFill>
        </w:rPr>
        <w:br w:type="textWrapping"/>
      </w:r>
      <w:r>
        <w:rPr>
          <w:i w:val="1"/>
          <w:iCs w:val="1"/>
          <w:outline w:val="0"/>
          <w:color w:val="000000"/>
          <w:rtl w:val="0"/>
          <w:lang w:val="en-US"/>
          <w14:textFill>
            <w14:solidFill>
              <w14:srgbClr w14:val="000000"/>
            </w14:solidFill>
          </w14:textFill>
        </w:rPr>
        <w:t xml:space="preserve">5th Sept.  </w:t>
      </w:r>
      <w:r>
        <w:rPr>
          <w:outline w:val="0"/>
          <w:color w:val="000000"/>
          <w:rtl w:val="0"/>
          <w:lang w:val="en-US"/>
          <w14:textFill>
            <w14:solidFill>
              <w14:srgbClr w14:val="000000"/>
            </w14:solidFill>
          </w14:textFill>
        </w:rPr>
        <w:t xml:space="preserve">Coral Smith from Devon Wildlife Trust gave a Zoom talk entitled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Life beneath the waves</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in which she described the activities of DWT at Wembury.  The talk is now available on our Youtube channel. About 10 people attended it live.</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10th Sept.</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gave a talk in the Heritage Centre as part of the Teignmouth Shanty Festival, but due to poor advertising only 6 or 7 people attended.</w:t>
      </w:r>
      <w:r>
        <w:rPr>
          <w:outline w:val="0"/>
          <w:color w:val="ff2600"/>
          <w14:textFill>
            <w14:solidFill>
              <w14:srgbClr w14:val="FF2600"/>
            </w14:solidFill>
          </w14:textFill>
        </w:rPr>
        <w:br w:type="textWrapping"/>
      </w:r>
      <w:r>
        <w:rPr>
          <w:i w:val="1"/>
          <w:iCs w:val="1"/>
          <w:outline w:val="0"/>
          <w:color w:val="000000"/>
          <w:rtl w:val="0"/>
          <w:lang w:val="en-US"/>
          <w14:textFill>
            <w14:solidFill>
              <w14:srgbClr w14:val="000000"/>
            </w14:solidFill>
          </w14:textFill>
        </w:rPr>
        <w:t>Future Talks</w:t>
      </w:r>
      <w:r>
        <w:rPr>
          <w:outline w:val="0"/>
          <w:color w:val="ff2600"/>
          <w14:textFill>
            <w14:solidFill>
              <w14:srgbClr w14:val="FF2600"/>
            </w14:solidFill>
          </w14:textFill>
        </w:rPr>
        <w:br w:type="textWrapping"/>
      </w:r>
      <w:r>
        <w:rPr>
          <w:outline w:val="0"/>
          <w:color w:val="000000"/>
          <w:u w:color="000000"/>
          <w:rtl w:val="0"/>
          <w:lang w:val="en-US"/>
          <w14:textFill>
            <w14:solidFill>
              <w14:srgbClr w14:val="000000"/>
            </w14:solidFill>
          </w14:textFill>
        </w:rPr>
        <w:t xml:space="preserve">a) The list of Autumn </w:t>
      </w:r>
      <w:r>
        <w:rPr>
          <w:outline w:val="0"/>
          <w:color w:val="000000"/>
          <w:rtl w:val="0"/>
          <w:lang w:val="en-US"/>
          <w14:textFill>
            <w14:solidFill>
              <w14:srgbClr w14:val="000000"/>
            </w14:solidFill>
          </w14:textFill>
        </w:rPr>
        <w:t>Zoom speakers remains as Oct 10th: Jenny Bennett (Geology); Dec: Keith Hiscock (MBA, review of 2023), although precise dates have not been confirmed.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Kirsty Andrews will be our guest speaker at the </w:t>
      </w:r>
      <w:r>
        <w:rPr>
          <w:b w:val="1"/>
          <w:bCs w:val="1"/>
          <w:outline w:val="0"/>
          <w:color w:val="000000"/>
          <w:rtl w:val="0"/>
          <w:lang w:val="en-US"/>
          <w14:textFill>
            <w14:solidFill>
              <w14:srgbClr w14:val="000000"/>
            </w14:solidFill>
          </w14:textFill>
        </w:rPr>
        <w:t>AGM</w:t>
      </w:r>
      <w:r>
        <w:rPr>
          <w:outline w:val="0"/>
          <w:color w:val="000000"/>
          <w:rtl w:val="0"/>
          <w:lang w:val="en-US"/>
          <w14:textFill>
            <w14:solidFill>
              <w14:srgbClr w14:val="000000"/>
            </w14:solidFill>
          </w14:textFill>
        </w:rPr>
        <w:t xml:space="preserve"> on 9th November.</w:t>
      </w:r>
    </w:p>
    <w:p>
      <w:pPr>
        <w:pStyle w:val="Body A"/>
        <w:rPr>
          <w:outline w:val="0"/>
          <w:color w:val="ff2600"/>
          <w:u w:color="ff2600"/>
          <w14:textFill>
            <w14:solidFill>
              <w14:srgbClr w14:val="FF2600"/>
            </w14:solidFill>
          </w14:textFill>
        </w:rPr>
      </w:pPr>
    </w:p>
    <w:p>
      <w:pPr>
        <w:pStyle w:val="Body A"/>
        <w:numPr>
          <w:ilvl w:val="0"/>
          <w:numId w:val="4"/>
        </w:numPr>
        <w:bidi w:val="0"/>
        <w:ind w:right="0"/>
        <w:jc w:val="left"/>
        <w:rPr>
          <w:rtl w:val="0"/>
          <w:lang w:val="en-US"/>
        </w:rPr>
      </w:pPr>
      <w:r>
        <w:rPr>
          <w:u w:color="ff2600"/>
          <w:rtl w:val="0"/>
          <w:lang w:val="en-US"/>
        </w:rPr>
        <w:t>Field activities</w:t>
      </w:r>
      <w:r>
        <w:br w:type="textWrapping"/>
      </w:r>
      <w:r>
        <w:rPr>
          <w:rtl w:val="0"/>
          <w:lang w:val="en-US"/>
        </w:rPr>
        <w:t>a</w:t>
      </w:r>
      <w:r>
        <w:rPr>
          <w:rtl w:val="0"/>
          <w:lang w:val="en-US"/>
        </w:rPr>
        <w:t>) A successful August Shoresearch Walkover survey was conducted</w:t>
      </w:r>
      <w:r>
        <w:rPr>
          <w:rtl w:val="0"/>
          <w:lang w:val="en-US"/>
        </w:rPr>
        <w:t xml:space="preserve"> </w:t>
      </w:r>
      <w:r>
        <w:rPr>
          <w:rtl w:val="0"/>
          <w:lang w:val="en-US"/>
        </w:rPr>
        <w:t>at Bundle Head</w:t>
      </w:r>
      <w:r>
        <w:rPr>
          <w:rtl w:val="0"/>
          <w:lang w:val="en-US"/>
        </w:rPr>
        <w:t xml:space="preserve">, </w:t>
      </w:r>
      <w:r>
        <w:rPr>
          <w:rtl w:val="0"/>
          <w:lang w:val="en-US"/>
        </w:rPr>
        <w:t>Shaldon</w:t>
      </w:r>
      <w:r>
        <w:rPr>
          <w:rtl w:val="0"/>
          <w:lang w:val="en-US"/>
        </w:rPr>
        <w:t>,</w:t>
      </w:r>
      <w:r>
        <w:rPr>
          <w:rtl w:val="0"/>
          <w:lang w:val="en-US"/>
        </w:rPr>
        <w:t xml:space="preserve"> lead by </w:t>
      </w:r>
      <w:r>
        <w:rPr>
          <w:b w:val="1"/>
          <w:bCs w:val="1"/>
          <w:rtl w:val="0"/>
          <w:lang w:val="en-US"/>
        </w:rPr>
        <w:t>SW-B</w:t>
      </w:r>
      <w:r>
        <w:rPr>
          <w:rtl w:val="0"/>
          <w:lang w:val="en-US"/>
        </w:rPr>
        <w:t xml:space="preserve"> and </w:t>
      </w:r>
      <w:r>
        <w:rPr>
          <w:b w:val="1"/>
          <w:bCs w:val="1"/>
          <w:rtl w:val="0"/>
          <w:lang w:val="en-US"/>
        </w:rPr>
        <w:t>TS</w:t>
      </w:r>
      <w:r>
        <w:rPr>
          <w:rtl w:val="0"/>
          <w:lang w:val="en-US"/>
        </w:rPr>
        <w:t>.  The observations were all uploaded to the DWT server.</w:t>
      </w:r>
      <w:r>
        <w:br w:type="textWrapping"/>
      </w:r>
      <w:r>
        <w:rPr>
          <w:rtl w:val="0"/>
          <w:lang w:val="en-US"/>
        </w:rPr>
        <w:t xml:space="preserve">b) A second successful Shoresearch walkover survey was conducted at Hollicombe Rocks, north Preston Beach on 2nd Sept, lead by </w:t>
      </w:r>
      <w:r>
        <w:rPr>
          <w:b w:val="1"/>
          <w:bCs w:val="1"/>
          <w:rtl w:val="0"/>
          <w:lang w:val="en-US"/>
        </w:rPr>
        <w:t>TS</w:t>
      </w:r>
      <w:r>
        <w:rPr>
          <w:rtl w:val="0"/>
          <w:lang w:val="en-US"/>
        </w:rPr>
        <w:t xml:space="preserve"> with </w:t>
      </w:r>
      <w:r>
        <w:rPr>
          <w:b w:val="1"/>
          <w:bCs w:val="1"/>
          <w:rtl w:val="0"/>
          <w:lang w:val="en-US"/>
        </w:rPr>
        <w:t>AG</w:t>
      </w:r>
      <w:r>
        <w:rPr>
          <w:rtl w:val="0"/>
          <w:lang w:val="en-US"/>
        </w:rPr>
        <w:t xml:space="preserve"> and </w:t>
      </w:r>
      <w:r>
        <w:rPr>
          <w:b w:val="1"/>
          <w:bCs w:val="1"/>
          <w:rtl w:val="0"/>
          <w:lang w:val="en-US"/>
        </w:rPr>
        <w:t>MP</w:t>
      </w:r>
      <w:r>
        <w:rPr>
          <w:rtl w:val="0"/>
          <w:lang w:val="en-US"/>
        </w:rPr>
        <w:t xml:space="preserve">.  A total of 8 people attended, including two non-members who donated </w:t>
      </w:r>
      <w:r>
        <w:rPr>
          <w:rtl w:val="0"/>
          <w:lang w:val="en-US"/>
        </w:rPr>
        <w:t>£</w:t>
      </w:r>
      <w:r>
        <w:rPr>
          <w:rtl w:val="0"/>
          <w:lang w:val="en-US"/>
        </w:rPr>
        <w:t>3 each.  Two people were alerted by the Instagram post.  At present the full dataset is still being collected before loading to the server.</w:t>
      </w:r>
      <w:r>
        <w:br w:type="textWrapping"/>
      </w:r>
      <w:r>
        <w:rPr>
          <w:rtl w:val="0"/>
          <w:lang w:val="en-US"/>
        </w:rPr>
        <w:t xml:space="preserve">d) The next Shoresearch will be held at Coryton Rocks, Dawlish on Sunday 1st October and be led by </w:t>
      </w:r>
      <w:r>
        <w:rPr>
          <w:b w:val="1"/>
          <w:bCs w:val="1"/>
          <w:rtl w:val="0"/>
          <w:lang w:val="en-US"/>
        </w:rPr>
        <w:t>TS</w:t>
      </w:r>
      <w:r>
        <w:rPr>
          <w:rtl w:val="0"/>
          <w:lang w:val="en-US"/>
        </w:rPr>
        <w:t xml:space="preserve"> and </w:t>
      </w:r>
      <w:r>
        <w:rPr>
          <w:b w:val="1"/>
          <w:bCs w:val="1"/>
          <w:rtl w:val="0"/>
          <w:lang w:val="en-US"/>
        </w:rPr>
        <w:t>MP</w:t>
      </w:r>
      <w:r>
        <w:rPr>
          <w:rtl w:val="0"/>
          <w:lang w:val="en-US"/>
        </w:rPr>
        <w:t>.  LW is 0.27 m chart datum at 1429 h BST, meet at the steps on the promenade above the rocks at 1245 h.</w:t>
      </w:r>
      <w:r>
        <w:br w:type="textWrapping"/>
      </w:r>
      <w:r>
        <w:rPr>
          <w:rtl w:val="0"/>
          <w:lang w:val="en-US"/>
        </w:rPr>
        <w:t xml:space="preserve">e) There will be another Shoresearch at Corbyn Head, Torquay on Sunday 29th October  when LW (Teignmouth Approaches) is 0.47 m at 1220 h GMT.  It will be lead by </w:t>
      </w:r>
      <w:r>
        <w:rPr>
          <w:b w:val="1"/>
          <w:bCs w:val="1"/>
          <w:rtl w:val="0"/>
          <w:lang w:val="en-US"/>
        </w:rPr>
        <w:t>MP</w:t>
      </w:r>
      <w:r>
        <w:rPr>
          <w:rtl w:val="0"/>
          <w:lang w:val="en-US"/>
        </w:rPr>
        <w:t xml:space="preserve"> and </w:t>
      </w:r>
      <w:r>
        <w:rPr>
          <w:b w:val="1"/>
          <w:bCs w:val="1"/>
          <w:rtl w:val="0"/>
          <w:lang w:val="en-US"/>
        </w:rPr>
        <w:t>TS</w:t>
      </w:r>
      <w:r>
        <w:rPr>
          <w:rtl w:val="0"/>
          <w:lang w:val="en-US"/>
        </w:rPr>
        <w:t xml:space="preserve">.  Meet on the beach below the steps at 1030 h GMT.  (Note the train from Newton Abbot gets in at 1022 h). </w:t>
      </w:r>
      <w:r>
        <w:br w:type="textWrapping"/>
      </w:r>
      <w:r>
        <w:rPr>
          <w:b w:val="1"/>
          <w:bCs w:val="1"/>
          <w:rtl w:val="0"/>
          <w:lang w:val="en-US"/>
        </w:rPr>
        <w:t>TS</w:t>
      </w:r>
      <w:r>
        <w:rPr>
          <w:rtl w:val="0"/>
          <w:lang w:val="en-US"/>
        </w:rPr>
        <w:t xml:space="preserve"> is leading a Dawlish Walking Festival walk to Coryton Rocks on Sunday 17th Sept. This is not an SoSD event as such.  Celia Hadow and possibly </w:t>
      </w:r>
      <w:r>
        <w:rPr>
          <w:b w:val="1"/>
          <w:bCs w:val="1"/>
          <w:rtl w:val="0"/>
          <w:lang w:val="en-US"/>
        </w:rPr>
        <w:t>SW-B</w:t>
      </w:r>
      <w:r>
        <w:rPr>
          <w:rtl w:val="0"/>
          <w:lang w:val="en-US"/>
        </w:rPr>
        <w:t xml:space="preserve"> will help out and about 12 members of the public will attend</w:t>
      </w:r>
      <w:r>
        <w:br w:type="textWrapping"/>
      </w:r>
      <w:r>
        <w:rPr>
          <w:b w:val="1"/>
          <w:bCs w:val="1"/>
          <w:rtl w:val="0"/>
          <w:lang w:val="en-US"/>
        </w:rPr>
        <w:t>MP</w:t>
      </w:r>
      <w:r>
        <w:rPr>
          <w:rtl w:val="0"/>
          <w:lang w:val="en-US"/>
        </w:rPr>
        <w:t xml:space="preserve"> plans to ask Pete Stevens a local environmentalist to lead a walk along the Teign estuary on the weekend of 14/15 October to look at marine life and overwintering sea birds.</w:t>
      </w:r>
      <w:r>
        <w:br w:type="textWrapping"/>
      </w:r>
      <w:r>
        <w:rPr>
          <w:rFonts w:ascii="Arial Unicode MS" w:cs="Arial Unicode MS" w:hAnsi="Arial Unicode MS" w:eastAsia="Arial Unicode MS"/>
          <w:b w:val="0"/>
          <w:bCs w:val="0"/>
          <w:i w:val="0"/>
          <w:iCs w:val="0"/>
        </w:rPr>
        <w:br w:type="page"/>
      </w:r>
    </w:p>
    <w:p>
      <w:pPr>
        <w:pStyle w:val="Body A"/>
        <w:numPr>
          <w:ilvl w:val="0"/>
          <w:numId w:val="3"/>
        </w:numPr>
        <w:bidi w:val="0"/>
        <w:ind w:right="0"/>
        <w:jc w:val="left"/>
        <w:rPr>
          <w:rtl w:val="0"/>
          <w:lang w:val="en-US"/>
        </w:rPr>
      </w:pPr>
      <w:r>
        <w:rPr>
          <w:rtl w:val="0"/>
          <w:lang w:val="en-US"/>
        </w:rPr>
        <w:t>Stands and talks etc</w:t>
      </w:r>
      <w:r>
        <w:br w:type="textWrapping"/>
      </w:r>
      <w:r>
        <w:rPr>
          <w:i w:val="1"/>
          <w:iCs w:val="1"/>
          <w:rtl w:val="0"/>
          <w:lang w:val="en-US"/>
        </w:rPr>
        <w:t>Past events:</w:t>
      </w:r>
      <w:r>
        <w:br w:type="textWrapping"/>
      </w:r>
      <w:r>
        <w:rPr>
          <w:i w:val="1"/>
          <w:iCs w:val="1"/>
          <w:rtl w:val="0"/>
          <w:lang w:val="en-US"/>
        </w:rPr>
        <w:t>13th Aug</w:t>
      </w:r>
      <w:r>
        <w:rPr>
          <w:rtl w:val="0"/>
          <w:lang w:val="en-US"/>
        </w:rPr>
        <w:t xml:space="preserve">.  The proposed stall at the Field Studies Council Environmental Festival, Slapton Ley had to be cancelled at the last minute when </w:t>
      </w:r>
      <w:r>
        <w:rPr>
          <w:b w:val="1"/>
          <w:bCs w:val="1"/>
          <w:rtl w:val="0"/>
          <w:lang w:val="en-US"/>
        </w:rPr>
        <w:t>TS</w:t>
      </w:r>
      <w:r>
        <w:rPr>
          <w:rtl w:val="0"/>
          <w:lang w:val="en-US"/>
        </w:rPr>
        <w:t xml:space="preserve"> had to take his wife to hospital for an urgent operation on that day.</w:t>
      </w:r>
      <w:r>
        <w:br w:type="textWrapping"/>
      </w:r>
      <w:r>
        <w:rPr>
          <w:rtl w:val="0"/>
          <w:lang w:val="en-US"/>
        </w:rPr>
        <w:t>9</w:t>
      </w:r>
      <w:r>
        <w:rPr>
          <w:i w:val="1"/>
          <w:iCs w:val="1"/>
          <w:rtl w:val="0"/>
          <w:lang w:val="en-US"/>
        </w:rPr>
        <w:t>/10th Sept</w:t>
      </w:r>
      <w:r>
        <w:rPr>
          <w:rtl w:val="0"/>
          <w:lang w:val="en-US"/>
        </w:rPr>
        <w:t xml:space="preserve">.  Teignmouth Shanty Festival.  </w:t>
      </w:r>
      <w:r>
        <w:rPr>
          <w:b w:val="1"/>
          <w:bCs w:val="1"/>
          <w:rtl w:val="0"/>
          <w:lang w:val="en-US"/>
        </w:rPr>
        <w:t>MP</w:t>
      </w:r>
      <w:r>
        <w:rPr>
          <w:rtl w:val="0"/>
          <w:lang w:val="en-US"/>
        </w:rPr>
        <w:t xml:space="preserve">, </w:t>
      </w:r>
      <w:r>
        <w:rPr>
          <w:b w:val="1"/>
          <w:bCs w:val="1"/>
          <w:rtl w:val="0"/>
          <w:lang w:val="en-US"/>
        </w:rPr>
        <w:t>AG</w:t>
      </w:r>
      <w:r>
        <w:rPr>
          <w:rtl w:val="0"/>
          <w:lang w:val="en-US"/>
        </w:rPr>
        <w:t xml:space="preserve"> and </w:t>
      </w:r>
      <w:r>
        <w:rPr>
          <w:b w:val="1"/>
          <w:bCs w:val="1"/>
          <w:rtl w:val="0"/>
          <w:lang w:val="en-US"/>
        </w:rPr>
        <w:t>TS</w:t>
      </w:r>
      <w:r>
        <w:rPr>
          <w:rtl w:val="0"/>
          <w:lang w:val="en-US"/>
        </w:rPr>
        <w:t xml:space="preserve"> exhibited their photos and artwork over the weekend at TAAG in Teignmouth.  Over 400 visitors came to the arts centre during that time and had an opportunity to appreciate the beautiful animals and algae of our seashore.</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SoSD branded T and Polo shirts</w:t>
      </w:r>
      <w:r>
        <w:rPr>
          <w:outline w:val="0"/>
          <w:color w:val="000000"/>
          <w:u w:color="000000"/>
          <w14:textFill>
            <w14:solidFill>
              <w14:srgbClr w14:val="000000"/>
            </w14:solidFill>
          </w14:textFill>
        </w:rPr>
        <w:br w:type="textWrapping"/>
      </w:r>
      <w:r>
        <w:rPr>
          <w:outline w:val="0"/>
          <w:color w:val="000000"/>
          <w:rtl w:val="0"/>
          <w:lang w:val="en-US"/>
          <w14:textFill>
            <w14:solidFill>
              <w14:srgbClr w14:val="000000"/>
            </w14:solidFill>
          </w14:textFill>
        </w:rPr>
        <w:t xml:space="preserve">Some recipients of the branded shirts have remarked that they are tighter than expected but it was agreed that nothing could be done about it now.  Since the shirts are intended to show up the leaders of shore surveys and would not be used in bad weather it was agreed to provide the Steering Group with yellow beanie hats displaying the SoSD logo.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Chris Bryan has agreed to stand down from the Steering Group.</w:t>
      </w:r>
      <w:r>
        <w:rPr>
          <w:outline w:val="0"/>
          <w:color w:val="000000"/>
          <w:u w:color="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w:t>
      </w:r>
      <w:r>
        <w:rPr>
          <w:rtl w:val="0"/>
          <w:lang w:val="en-US"/>
        </w:rPr>
        <w:t>meeting</w:t>
      </w:r>
      <w:r>
        <w:rPr>
          <w:rtl w:val="0"/>
          <w:lang w:val="en-US"/>
        </w:rPr>
        <w:t xml:space="preserve"> will be by Zoom on Tuesday </w:t>
      </w:r>
      <w:r>
        <w:rPr>
          <w:rtl w:val="0"/>
          <w:lang w:val="en-US"/>
        </w:rPr>
        <w:t>31st October</w:t>
      </w:r>
      <w:r>
        <w:rPr>
          <w:rtl w:val="0"/>
          <w:lang w:val="en-US"/>
        </w:rPr>
        <w:t xml:space="preserve"> 2023 at 1930 h.</w:t>
      </w:r>
      <w:r>
        <w:br w:type="textWrapping"/>
      </w:r>
    </w:p>
    <w:p>
      <w:pPr>
        <w:pStyle w:val="Body A"/>
        <w:numPr>
          <w:ilvl w:val="0"/>
          <w:numId w:val="2"/>
        </w:numPr>
        <w:bidi w:val="0"/>
        <w:ind w:right="0"/>
        <w:jc w:val="left"/>
        <w:rPr>
          <w:rtl w:val="0"/>
          <w:lang w:val="en-US"/>
        </w:rPr>
      </w:pPr>
      <w:r>
        <w:rPr>
          <w:rtl w:val="0"/>
          <w:lang w:val="en-US"/>
        </w:rPr>
        <w:t>The meeting closed at 2050 h.</w:t>
      </w:r>
    </w:p>
    <w:p>
      <w:pPr>
        <w:pStyle w:val="Heading 2"/>
        <w:bidi w:val="0"/>
      </w:pPr>
      <w:r>
        <w:rPr>
          <w:rFonts w:ascii="Arial Unicode MS" w:cs="Arial Unicode MS" w:hAnsi="Arial Unicode MS" w:eastAsia="Arial Unicode MS"/>
          <w:b w:val="0"/>
          <w:bCs w:val="0"/>
          <w:i w:val="0"/>
          <w:iCs w:val="0"/>
        </w:rPr>
        <w:br w:type="page"/>
      </w:r>
    </w:p>
    <w:p>
      <w:pPr>
        <w:pStyle w:val="Body"/>
      </w:pPr>
    </w:p>
    <w:p>
      <w:pPr>
        <w:pStyle w:val="Heading 2"/>
        <w:bidi w:val="0"/>
      </w:pPr>
      <w:r>
        <w:rPr>
          <w:rFonts w:cs="Arial Unicode MS" w:eastAsia="Arial Unicode MS"/>
          <w:rtl w:val="0"/>
          <w:lang w:val="en-US"/>
        </w:rPr>
        <w:t>Appendix.  Summary of further commitments for 2023</w:t>
      </w:r>
    </w:p>
    <w:p>
      <w:pPr>
        <w:pStyle w:val="Body"/>
      </w:pPr>
    </w:p>
    <w:p>
      <w:pPr>
        <w:pStyle w:val="Body"/>
        <w:rPr>
          <w:rFonts w:ascii="Helvetica Neue" w:cs="Helvetica Neue" w:hAnsi="Helvetica Neue" w:eastAsia="Helvetica Neue"/>
        </w:rPr>
      </w:pPr>
      <w:r>
        <w:rPr>
          <w:rFonts w:ascii="Helvetica Neue" w:hAnsi="Helvetica Neue"/>
          <w:rtl w:val="0"/>
          <w:lang w:val="en-US"/>
        </w:rPr>
        <w:t>Dates of Shoresearch Walkover surveys:</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45"/>
        <w:gridCol w:w="983"/>
        <w:gridCol w:w="860"/>
        <w:gridCol w:w="3525"/>
        <w:gridCol w:w="1589"/>
        <w:gridCol w:w="1318"/>
      </w:tblGrid>
      <w:tr>
        <w:tblPrEx>
          <w:shd w:val="clear" w:color="auto" w:fill="cadfff"/>
        </w:tblPrEx>
        <w:trPr>
          <w:trHeight w:val="494"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LW time*</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LW ht / m*</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Reporter</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co-leaders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May 21</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1350</w:t>
            </w:r>
            <w:r>
              <w:rPr>
                <w:rFonts w:ascii="Helvetica Neue" w:cs="Arial Unicode MS" w:hAnsi="Helvetica Neue" w:eastAsia="Arial Unicode MS" w:hint="default"/>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0.90</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Heybrook Bay, Wembury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June 4</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1358</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0.84</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 xml:space="preserve">Shoalstone, Brixham </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BH</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MP</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July 8</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1630</w:t>
            </w:r>
            <w:r>
              <w:rPr>
                <w:rFonts w:ascii="Helvetica Neue" w:cs="Arial Unicode MS" w:hAnsi="Helvetica Neue" w:eastAsia="Arial Unicode MS" w:hint="default"/>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1.00</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Mount Batten, Plymouth</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Cancelled</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Aug 5</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1551</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0.49</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Bundle Head, Shaldon</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BH</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Sept 2</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1453</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0.25</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Preston Sands, Torbay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 xml:space="preserve">Sun Oct 1 </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1429</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0.27</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Coryton Rocks, Dawlish</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MP</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Oct 29</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1220</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0.47</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Corbyn Head, Torquay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Nov 26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1107</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0.92</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Meadfoot, Torquay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Dec 16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1344</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0.98</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Burgh Island, Bigbury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bl>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numPr>
          <w:ilvl w:val="0"/>
          <w:numId w:val="6"/>
        </w:numPr>
        <w:spacing w:line="312" w:lineRule="auto"/>
        <w:rPr>
          <w:rFonts w:ascii="Helvetica Neue" w:hAnsi="Helvetica Neue"/>
          <w:lang w:val="en-US"/>
        </w:rPr>
      </w:pPr>
      <w:r>
        <w:rPr>
          <w:rFonts w:ascii="Helvetica Neue" w:hAnsi="Helvetica Neue"/>
          <w:rtl w:val="0"/>
          <w:lang w:val="en-US"/>
        </w:rPr>
        <w:t>Times are given in GMT / BST as appropriate</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 xml:space="preserve"> Tides for Plymouth (Devonport), elsewhere they are for Teignmouth (Approaches)</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Other events:</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690"/>
        <w:gridCol w:w="1597"/>
        <w:gridCol w:w="2316"/>
        <w:gridCol w:w="2173"/>
        <w:gridCol w:w="1944"/>
      </w:tblGrid>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Event</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Contributors</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May 20</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Devon County Show</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Westpoint, nr Exeter</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Celia Hadow</w:t>
            </w:r>
          </w:p>
        </w:tc>
      </w:tr>
      <w:tr>
        <w:tblPrEx>
          <w:shd w:val="clear" w:color="auto" w:fill="cadfff"/>
        </w:tblPrEx>
        <w:trPr>
          <w:trHeight w:val="495"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Fri May 26 to Fri June 9</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Art Exhibition</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Strand Centre, Dawlish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Louise Scammell</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Mon May 29</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 &amp; Talk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Turn the Tide</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Dawlish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Wed May 31</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 Marine Fest</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Paignton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October 14 / 15</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Teign estuary</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N.A. to Shaldon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Pete Stevens</w:t>
            </w:r>
          </w:p>
        </w:tc>
      </w:tr>
      <w:tr>
        <w:tblPrEx>
          <w:shd w:val="clear" w:color="auto" w:fill="cadfff"/>
        </w:tblPrEx>
        <w:trPr>
          <w:trHeight w:val="494"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Aug 13</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FSC Environment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Slapton Ley</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tba</w:t>
            </w:r>
          </w:p>
        </w:tc>
      </w:tr>
      <w:tr>
        <w:tblPrEx>
          <w:shd w:val="clear" w:color="auto" w:fill="cadfff"/>
        </w:tblPrEx>
        <w:trPr>
          <w:trHeight w:val="494"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Sept 9 and 10</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 xml:space="preserve">Talk and Photo exhibition </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Teignmouth Shanty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TAAG, Teignmouth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p>
        </w:tc>
      </w:tr>
      <w:tr>
        <w:tblPrEx>
          <w:shd w:val="clear" w:color="auto" w:fill="cadfff"/>
        </w:tblPrEx>
        <w:trPr>
          <w:trHeight w:val="495"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Sept 17</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Dawlish Walking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Coryton Rocks</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SW-B</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Celia Hadow</w:t>
            </w:r>
          </w:p>
        </w:tc>
      </w:tr>
    </w:tbl>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Talks and AGM:</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365"/>
        <w:gridCol w:w="1646"/>
        <w:gridCol w:w="2909"/>
        <w:gridCol w:w="3800"/>
      </w:tblGrid>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Speaker</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Subject</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September</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Coral Smith</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Devon Wildlife Trust</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October 10</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Jenny Bennett</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South Devon Geology</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November 9</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Kirsty Andrews</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AGM</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Royal Torbay Yacht Club</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December</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Keith Hiscock</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Review of 2023</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bl>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tl w:val="0"/>
        </w:rPr>
      </w:pP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